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709" w:leader="none"/>
        </w:tabs>
        <w:spacing w:before="120" w:after="120"/>
        <w:ind w:right="-568" w:hanging="0"/>
        <w:jc w:val="center"/>
        <w:rPr>
          <w:rFonts w:ascii="Century Gothic" w:hAnsi="Century Gothic" w:cs="Arial"/>
          <w:b/>
          <w:b/>
          <w:bCs/>
          <w:sz w:val="20"/>
          <w:szCs w:val="20"/>
        </w:rPr>
      </w:pPr>
      <w:r>
        <w:rPr>
          <w:rFonts w:cs="Arial" w:ascii="Century Gothic" w:hAnsi="Century Gothic"/>
          <w:b/>
          <w:bCs/>
          <w:sz w:val="20"/>
          <w:szCs w:val="20"/>
        </w:rPr>
        <w:t xml:space="preserve">ANEXO VI </w:t>
      </w:r>
    </w:p>
    <w:p>
      <w:pPr>
        <w:pStyle w:val="Normal"/>
        <w:tabs>
          <w:tab w:val="clear" w:pos="708"/>
          <w:tab w:val="left" w:pos="709" w:leader="none"/>
        </w:tabs>
        <w:spacing w:before="120" w:after="120"/>
        <w:ind w:right="-568" w:hanging="0"/>
        <w:jc w:val="center"/>
        <w:rPr>
          <w:rFonts w:ascii="Century Gothic" w:hAnsi="Century Gothic" w:cs="Arial"/>
          <w:b/>
          <w:b/>
          <w:bCs/>
          <w:sz w:val="20"/>
          <w:szCs w:val="20"/>
        </w:rPr>
      </w:pPr>
      <w:r>
        <w:rPr>
          <w:rFonts w:cs="Arial" w:ascii="Century Gothic" w:hAnsi="Century Gothic"/>
          <w:b/>
          <w:bCs/>
          <w:sz w:val="20"/>
          <w:szCs w:val="20"/>
        </w:rPr>
        <w:t>MINUTA DA ATA DE REGISTRO DE PREÇOS</w:t>
      </w:r>
    </w:p>
    <w:p>
      <w:pPr>
        <w:pStyle w:val="Normal"/>
        <w:widowControl w:val="false"/>
        <w:tabs>
          <w:tab w:val="clear" w:pos="708"/>
          <w:tab w:val="center" w:pos="4779" w:leader="none"/>
          <w:tab w:val="right" w:pos="9198" w:leader="none"/>
        </w:tabs>
        <w:ind w:right="-28" w:hanging="0"/>
        <w:jc w:val="both"/>
        <w:rPr>
          <w:rFonts w:ascii="Century Gothic" w:hAnsi="Century Gothic" w:cs="Arial"/>
          <w:b/>
          <w:b/>
          <w:bCs/>
          <w:iCs/>
          <w:sz w:val="20"/>
          <w:szCs w:val="20"/>
        </w:rPr>
      </w:pPr>
      <w:r>
        <w:rPr>
          <w:rFonts w:cs="Arial" w:ascii="Century Gothic" w:hAnsi="Century Gothic"/>
          <w:b/>
          <w:bCs/>
          <w:iCs/>
          <w:sz w:val="20"/>
          <w:szCs w:val="20"/>
        </w:rPr>
      </w:r>
    </w:p>
    <w:p>
      <w:pPr>
        <w:pStyle w:val="Normal"/>
        <w:widowControl w:val="false"/>
        <w:tabs>
          <w:tab w:val="clear" w:pos="708"/>
          <w:tab w:val="center" w:pos="4779" w:leader="none"/>
          <w:tab w:val="right" w:pos="9198" w:leader="none"/>
        </w:tabs>
        <w:ind w:right="-28" w:hanging="0"/>
        <w:jc w:val="both"/>
        <w:rPr>
          <w:rFonts w:ascii="Century Gothic" w:hAnsi="Century Gothic" w:cs="Arial"/>
          <w:b/>
          <w:b/>
          <w:bCs/>
          <w:iCs/>
          <w:sz w:val="20"/>
          <w:szCs w:val="20"/>
        </w:rPr>
      </w:pPr>
      <w:r>
        <w:rPr>
          <w:rFonts w:cs="Arial" w:ascii="Century Gothic" w:hAnsi="Century Gothic"/>
          <w:b/>
          <w:bCs/>
          <w:iCs/>
          <w:sz w:val="20"/>
          <w:szCs w:val="20"/>
        </w:rPr>
      </w:r>
    </w:p>
    <w:p>
      <w:pPr>
        <w:pStyle w:val="Normal"/>
        <w:widowControl w:val="false"/>
        <w:tabs>
          <w:tab w:val="clear" w:pos="708"/>
          <w:tab w:val="center" w:pos="4779" w:leader="none"/>
          <w:tab w:val="right" w:pos="9198" w:leader="none"/>
        </w:tabs>
        <w:ind w:right="-28" w:hanging="0"/>
        <w:jc w:val="both"/>
        <w:rPr>
          <w:rFonts w:ascii="Century Gothic" w:hAnsi="Century Gothic" w:cs="Arial"/>
          <w:sz w:val="20"/>
          <w:szCs w:val="20"/>
        </w:rPr>
      </w:pPr>
      <w:r>
        <w:rPr>
          <w:rFonts w:cs="Arial" w:ascii="Century Gothic" w:hAnsi="Century Gothic"/>
          <w:sz w:val="20"/>
          <w:szCs w:val="20"/>
        </w:rPr>
        <w:t xml:space="preserve">O </w:t>
      </w:r>
      <w:r>
        <w:rPr>
          <w:rFonts w:eastAsia="Arial" w:cs="Arial" w:ascii="Century Gothic" w:hAnsi="Century Gothic"/>
          <w:sz w:val="20"/>
          <w:szCs w:val="20"/>
        </w:rPr>
        <w:t>Consórcio Intermunicipal de Saúde da Microrregião de Viçosa - CISMIV</w:t>
      </w:r>
      <w:r>
        <w:rPr>
          <w:rFonts w:cs="Arial" w:ascii="Century Gothic" w:hAnsi="Century Gothic"/>
          <w:sz w:val="20"/>
          <w:szCs w:val="20"/>
        </w:rPr>
        <w:t xml:space="preserve">, portador do CNPJ nº 0.326.365/0001-36, sediado a </w:t>
      </w:r>
      <w:r>
        <w:rPr>
          <w:rFonts w:eastAsia="Arial" w:cs="Arial" w:ascii="Century Gothic" w:hAnsi="Century Gothic"/>
          <w:sz w:val="20"/>
          <w:szCs w:val="20"/>
        </w:rPr>
        <w:t>Rua José dos Santos, 120, Centro, Viçosa – MG, CEP 36570-135</w:t>
      </w:r>
      <w:r>
        <w:rPr>
          <w:rFonts w:cs="Arial" w:ascii="Century Gothic" w:hAnsi="Century Gothic"/>
          <w:sz w:val="20"/>
          <w:szCs w:val="20"/>
        </w:rPr>
        <w:t xml:space="preserve">, neste ato representado pela Secretária Executiva do CISMIV, Andrea Lopes Da Silva Gonçalves, CPF 040.676.926-50, no exercício de delegação de atribuição determinada pelo Presidente do CONSÓRCIO, Exmo. Sr. Prefeito Municipal de Araponga, Sr. Luiz Henrique Macedo Teixeira, CPF: 077.267.376-46, considerando o julgamento da licitação na modalidade de pregão, na forma </w:t>
      </w:r>
      <w:r>
        <w:rPr>
          <w:rFonts w:cs="Arial" w:ascii="Century Gothic" w:hAnsi="Century Gothic"/>
          <w:iCs/>
          <w:sz w:val="20"/>
          <w:szCs w:val="20"/>
        </w:rPr>
        <w:t>PRESENCIAL</w:t>
      </w:r>
      <w:r>
        <w:rPr>
          <w:rFonts w:cs="Arial" w:ascii="Century Gothic" w:hAnsi="Century Gothic"/>
          <w:sz w:val="20"/>
          <w:szCs w:val="20"/>
        </w:rPr>
        <w:t xml:space="preserve">, para registro de preços nº 02/2023, processo administrativo n.º 02/2023,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w:t>
      </w:r>
      <w:r>
        <w:rPr>
          <w:rFonts w:cs="Arial" w:ascii="Century Gothic" w:hAnsi="Century Gothic"/>
          <w:iCs/>
          <w:sz w:val="20"/>
          <w:szCs w:val="20"/>
        </w:rPr>
        <w:t>Decreto nº02/2020 do CISMIV,</w:t>
      </w:r>
      <w:r>
        <w:rPr>
          <w:rFonts w:cs="Arial" w:ascii="Century Gothic" w:hAnsi="Century Gothic"/>
          <w:sz w:val="20"/>
          <w:szCs w:val="20"/>
        </w:rPr>
        <w:t xml:space="preserve"> e em conformidade com as disposições a seguir:</w:t>
      </w:r>
    </w:p>
    <w:p>
      <w:pPr>
        <w:pStyle w:val="Normal"/>
        <w:widowControl w:val="false"/>
        <w:tabs>
          <w:tab w:val="clear" w:pos="708"/>
          <w:tab w:val="center" w:pos="4779" w:leader="none"/>
          <w:tab w:val="right" w:pos="9198" w:leader="none"/>
        </w:tabs>
        <w:ind w:right="-28" w:hanging="0"/>
        <w:jc w:val="both"/>
        <w:rPr>
          <w:rFonts w:ascii="Century Gothic" w:hAnsi="Century Gothic" w:cs="Arial"/>
          <w:sz w:val="20"/>
          <w:szCs w:val="20"/>
        </w:rPr>
      </w:pPr>
      <w:r>
        <w:rPr>
          <w:rFonts w:cs="Arial" w:ascii="Century Gothic" w:hAnsi="Century Gothic"/>
          <w:sz w:val="20"/>
          <w:szCs w:val="20"/>
        </w:rPr>
      </w:r>
    </w:p>
    <w:p>
      <w:pPr>
        <w:pStyle w:val="Normal"/>
        <w:numPr>
          <w:ilvl w:val="0"/>
          <w:numId w:val="1"/>
        </w:numPr>
        <w:spacing w:lineRule="auto" w:line="276" w:before="120" w:after="120"/>
        <w:ind w:left="0" w:hanging="0"/>
        <w:jc w:val="both"/>
        <w:rPr>
          <w:rFonts w:ascii="Century Gothic" w:hAnsi="Century Gothic" w:cs="Arial"/>
          <w:b/>
          <w:b/>
          <w:bCs/>
          <w:sz w:val="20"/>
          <w:szCs w:val="20"/>
        </w:rPr>
      </w:pPr>
      <w:r>
        <w:rPr>
          <w:rFonts w:cs="Arial" w:ascii="Century Gothic" w:hAnsi="Century Gothic"/>
          <w:b/>
          <w:bCs/>
          <w:sz w:val="20"/>
          <w:szCs w:val="20"/>
        </w:rPr>
        <w:t>DO OBJETO</w:t>
      </w:r>
    </w:p>
    <w:p>
      <w:pPr>
        <w:pStyle w:val="Normal"/>
        <w:widowControl w:val="false"/>
        <w:tabs>
          <w:tab w:val="clear" w:pos="708"/>
          <w:tab w:val="center" w:pos="4779" w:leader="none"/>
          <w:tab w:val="right" w:pos="9198" w:leader="none"/>
        </w:tabs>
        <w:ind w:right="-28" w:hanging="0"/>
        <w:jc w:val="both"/>
        <w:rPr>
          <w:rFonts w:ascii="Century Gothic" w:hAnsi="Century Gothic" w:cs="Arial"/>
          <w:b/>
          <w:b/>
          <w:bCs/>
          <w:iCs/>
          <w:sz w:val="20"/>
          <w:szCs w:val="20"/>
        </w:rPr>
      </w:pPr>
      <w:r>
        <w:rPr>
          <w:rFonts w:cs="Arial" w:ascii="Century Gothic" w:hAnsi="Century Gothic"/>
          <w:sz w:val="20"/>
          <w:szCs w:val="20"/>
        </w:rPr>
        <w:t>A presente Ata tem por objeto Registro de Preços para futura e eventual aquisição de gêneros alimentícios como pão, manteiga, pó de café e açúcar  para fornecimento de café da manhã e da tarde para funcionários , salgados e refrigerante para fornecimento de coffee break para as assembleias do CISMIV</w:t>
      </w:r>
      <w:r>
        <w:rPr>
          <w:rFonts w:cs="Arial" w:ascii="Century Gothic" w:hAnsi="Century Gothic"/>
          <w:b/>
          <w:bCs/>
          <w:iCs/>
          <w:sz w:val="20"/>
          <w:szCs w:val="20"/>
        </w:rPr>
        <w:t xml:space="preserve"> </w:t>
      </w:r>
      <w:r>
        <w:rPr>
          <w:rFonts w:cs="Arial" w:ascii="Century Gothic" w:hAnsi="Century Gothic"/>
          <w:sz w:val="20"/>
          <w:szCs w:val="20"/>
        </w:rPr>
        <w:t>conforme condições, quantidades e exigências estabelecidas neste instrumento</w:t>
      </w:r>
      <w:r>
        <w:rPr>
          <w:rFonts w:cs="Arial" w:ascii="Century Gothic" w:hAnsi="Century Gothic"/>
          <w:b/>
          <w:sz w:val="20"/>
          <w:szCs w:val="20"/>
        </w:rPr>
        <w:t xml:space="preserve">, </w:t>
      </w:r>
      <w:r>
        <w:rPr>
          <w:rFonts w:cs="Arial" w:ascii="Century Gothic" w:hAnsi="Century Gothic"/>
          <w:sz w:val="20"/>
          <w:szCs w:val="20"/>
        </w:rPr>
        <w:t xml:space="preserve">especificado(s) no(s) item(ns).......... do Termo de Referência, anexo 1 do edital de Pregão nº 02/2023 que é parte integrante desta Ata, assim como a proposta vencedora, independentemente de transcrição. </w:t>
      </w:r>
    </w:p>
    <w:p>
      <w:pPr>
        <w:pStyle w:val="Normal"/>
        <w:widowControl w:val="false"/>
        <w:ind w:left="792" w:hanging="0"/>
        <w:jc w:val="both"/>
        <w:rPr>
          <w:rFonts w:ascii="Century Gothic" w:hAnsi="Century Gothic" w:cs="Arial"/>
          <w:sz w:val="20"/>
          <w:szCs w:val="20"/>
        </w:rPr>
      </w:pPr>
      <w:r>
        <w:rPr>
          <w:rFonts w:cs="Arial" w:ascii="Century Gothic" w:hAnsi="Century Gothic"/>
          <w:sz w:val="20"/>
          <w:szCs w:val="20"/>
        </w:rPr>
      </w:r>
    </w:p>
    <w:p>
      <w:pPr>
        <w:pStyle w:val="Normal"/>
        <w:numPr>
          <w:ilvl w:val="0"/>
          <w:numId w:val="1"/>
        </w:numPr>
        <w:spacing w:lineRule="auto" w:line="276" w:before="120" w:after="120"/>
        <w:ind w:left="0" w:hanging="0"/>
        <w:jc w:val="both"/>
        <w:rPr>
          <w:rFonts w:ascii="Century Gothic" w:hAnsi="Century Gothic" w:cs="Arial"/>
          <w:b/>
          <w:b/>
          <w:sz w:val="20"/>
          <w:szCs w:val="20"/>
        </w:rPr>
      </w:pPr>
      <w:r>
        <w:rPr>
          <w:rFonts w:cs="Arial" w:ascii="Century Gothic" w:hAnsi="Century Gothic"/>
          <w:b/>
          <w:bCs/>
          <w:sz w:val="20"/>
          <w:szCs w:val="20"/>
        </w:rPr>
        <w:t>DOS PREÇOS, ESPECIFICAÇÕES E QUANTITATIVOS</w:t>
      </w:r>
    </w:p>
    <w:p>
      <w:pPr>
        <w:pStyle w:val="Normal"/>
        <w:numPr>
          <w:ilvl w:val="1"/>
          <w:numId w:val="1"/>
        </w:numPr>
        <w:spacing w:lineRule="auto" w:line="276" w:before="120" w:after="120"/>
        <w:ind w:left="425" w:hanging="0"/>
        <w:jc w:val="both"/>
        <w:rPr>
          <w:rFonts w:ascii="Century Gothic" w:hAnsi="Century Gothic" w:cs="Arial"/>
          <w:sz w:val="20"/>
          <w:szCs w:val="20"/>
        </w:rPr>
      </w:pPr>
      <w:r>
        <w:rPr>
          <w:rFonts w:cs="Arial" w:ascii="Century Gothic" w:hAnsi="Century Gothic"/>
          <w:sz w:val="20"/>
          <w:szCs w:val="20"/>
        </w:rPr>
        <w:t xml:space="preserve">O preço registrado, as especificações do objeto, a quantidade, fornecedor(es) e as demais condições ofertadas na(s) proposta(s) são as que seguem: </w:t>
      </w:r>
    </w:p>
    <w:tbl>
      <w:tblPr>
        <w:tblW w:w="9498"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5"/>
        <w:gridCol w:w="1186"/>
        <w:gridCol w:w="1403"/>
        <w:gridCol w:w="1539"/>
        <w:gridCol w:w="1123"/>
        <w:gridCol w:w="1343"/>
        <w:gridCol w:w="1134"/>
        <w:gridCol w:w="1273"/>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30" w:hanging="0"/>
              <w:jc w:val="center"/>
              <w:rPr>
                <w:rFonts w:ascii="Century Gothic" w:hAnsi="Century Gothic" w:cs="Arial"/>
                <w:sz w:val="20"/>
                <w:szCs w:val="20"/>
              </w:rPr>
            </w:pPr>
            <w:r>
              <w:rPr>
                <w:rFonts w:cs="Arial" w:ascii="Century Gothic" w:hAnsi="Century Gothic"/>
                <w:sz w:val="20"/>
                <w:szCs w:val="20"/>
              </w:rPr>
              <w:t>Item</w:t>
            </w:r>
          </w:p>
          <w:p>
            <w:pPr>
              <w:pStyle w:val="Normal"/>
              <w:widowControl w:val="false"/>
              <w:ind w:right="-30" w:hanging="0"/>
              <w:jc w:val="center"/>
              <w:rPr>
                <w:rFonts w:ascii="Century Gothic" w:hAnsi="Century Gothic" w:cs="Arial"/>
                <w:sz w:val="20"/>
                <w:szCs w:val="20"/>
              </w:rPr>
            </w:pPr>
            <w:r>
              <w:rPr>
                <w:rFonts w:cs="Arial" w:ascii="Century Gothic" w:hAnsi="Century Gothic"/>
                <w:sz w:val="20"/>
                <w:szCs w:val="20"/>
              </w:rPr>
              <w:t>do</w:t>
            </w:r>
          </w:p>
          <w:p>
            <w:pPr>
              <w:pStyle w:val="Normal"/>
              <w:widowControl w:val="false"/>
              <w:ind w:right="-30" w:hanging="0"/>
              <w:jc w:val="center"/>
              <w:rPr>
                <w:rFonts w:ascii="Century Gothic" w:hAnsi="Century Gothic" w:cs="Arial"/>
                <w:sz w:val="20"/>
                <w:szCs w:val="20"/>
              </w:rPr>
            </w:pPr>
            <w:r>
              <w:rPr>
                <w:rFonts w:cs="Arial" w:ascii="Century Gothic" w:hAnsi="Century Gothic"/>
                <w:sz w:val="20"/>
                <w:szCs w:val="20"/>
              </w:rPr>
              <w:t>TR</w:t>
            </w:r>
          </w:p>
        </w:tc>
        <w:tc>
          <w:tcPr>
            <w:tcW w:w="9001" w:type="dxa"/>
            <w:gridSpan w:val="7"/>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30" w:hanging="0"/>
              <w:jc w:val="center"/>
              <w:rPr>
                <w:rFonts w:ascii="Century Gothic" w:hAnsi="Century Gothic" w:cs="Arial"/>
                <w:i/>
                <w:i/>
                <w:sz w:val="20"/>
                <w:szCs w:val="20"/>
              </w:rPr>
            </w:pPr>
            <w:r>
              <w:rPr>
                <w:rFonts w:cs="Arial" w:ascii="Century Gothic" w:hAnsi="Century Gothic"/>
                <w:i/>
                <w:sz w:val="20"/>
                <w:szCs w:val="20"/>
              </w:rPr>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30" w:hanging="0"/>
              <w:jc w:val="center"/>
              <w:rPr>
                <w:rFonts w:ascii="Century Gothic" w:hAnsi="Century Gothic" w:cs="Arial"/>
                <w:sz w:val="20"/>
                <w:szCs w:val="20"/>
              </w:rPr>
            </w:pPr>
            <w:r>
              <w:rPr>
                <w:rFonts w:cs="Arial" w:ascii="Century Gothic" w:hAnsi="Century Gothic"/>
                <w:sz w:val="20"/>
                <w:szCs w:val="20"/>
              </w:rPr>
              <w:t>X</w:t>
            </w:r>
          </w:p>
        </w:tc>
        <w:tc>
          <w:tcPr>
            <w:tcW w:w="1186" w:type="dxa"/>
            <w:tcBorders>
              <w:left w:val="single" w:sz="2" w:space="0" w:color="000000"/>
              <w:bottom w:val="single" w:sz="2" w:space="0" w:color="000000"/>
            </w:tcBorders>
          </w:tcPr>
          <w:p>
            <w:pPr>
              <w:pStyle w:val="Normal"/>
              <w:widowControl w:val="false"/>
              <w:ind w:right="-30" w:hanging="0"/>
              <w:jc w:val="both"/>
              <w:rPr>
                <w:rFonts w:ascii="Century Gothic" w:hAnsi="Century Gothic" w:cs="Arial"/>
                <w:sz w:val="20"/>
                <w:szCs w:val="20"/>
              </w:rPr>
            </w:pPr>
            <w:r>
              <w:rPr>
                <w:rFonts w:cs="Arial" w:ascii="Century Gothic" w:hAnsi="Century Gothic"/>
                <w:sz w:val="20"/>
                <w:szCs w:val="20"/>
              </w:rPr>
            </w:r>
          </w:p>
        </w:tc>
        <w:tc>
          <w:tcPr>
            <w:tcW w:w="1403" w:type="dxa"/>
            <w:tcBorders>
              <w:left w:val="single" w:sz="2" w:space="0" w:color="000000"/>
              <w:bottom w:val="single" w:sz="2" w:space="0" w:color="000000"/>
            </w:tcBorders>
          </w:tcPr>
          <w:p>
            <w:pPr>
              <w:pStyle w:val="Normal"/>
              <w:widowControl w:val="false"/>
              <w:ind w:right="-30" w:hanging="0"/>
              <w:jc w:val="center"/>
              <w:rPr>
                <w:rFonts w:ascii="Century Gothic" w:hAnsi="Century Gothic" w:cs="Arial"/>
                <w:iCs/>
                <w:sz w:val="20"/>
                <w:szCs w:val="20"/>
              </w:rPr>
            </w:pPr>
            <w:r>
              <w:rPr>
                <w:rFonts w:cs="Arial" w:ascii="Century Gothic" w:hAnsi="Century Gothic"/>
                <w:iCs/>
                <w:sz w:val="20"/>
                <w:szCs w:val="20"/>
              </w:rPr>
            </w:r>
          </w:p>
        </w:tc>
        <w:tc>
          <w:tcPr>
            <w:tcW w:w="1539" w:type="dxa"/>
            <w:tcBorders>
              <w:left w:val="single" w:sz="2" w:space="0" w:color="000000"/>
              <w:bottom w:val="single" w:sz="2" w:space="0" w:color="000000"/>
            </w:tcBorders>
          </w:tcPr>
          <w:p>
            <w:pPr>
              <w:pStyle w:val="Normal"/>
              <w:widowControl w:val="false"/>
              <w:ind w:right="-30" w:hanging="0"/>
              <w:jc w:val="center"/>
              <w:rPr>
                <w:rFonts w:ascii="Century Gothic" w:hAnsi="Century Gothic" w:cs="Arial"/>
                <w:iCs/>
                <w:sz w:val="20"/>
                <w:szCs w:val="20"/>
              </w:rPr>
            </w:pPr>
            <w:r>
              <w:rPr>
                <w:rFonts w:cs="Arial" w:ascii="Century Gothic" w:hAnsi="Century Gothic"/>
                <w:iCs/>
                <w:sz w:val="20"/>
                <w:szCs w:val="20"/>
              </w:rPr>
            </w:r>
          </w:p>
        </w:tc>
        <w:tc>
          <w:tcPr>
            <w:tcW w:w="1123" w:type="dxa"/>
            <w:tcBorders>
              <w:left w:val="single" w:sz="2" w:space="0" w:color="000000"/>
              <w:bottom w:val="single" w:sz="2" w:space="0" w:color="000000"/>
            </w:tcBorders>
          </w:tcPr>
          <w:p>
            <w:pPr>
              <w:pStyle w:val="Normal"/>
              <w:widowControl w:val="false"/>
              <w:ind w:right="-30" w:hanging="0"/>
              <w:jc w:val="center"/>
              <w:rPr>
                <w:rFonts w:ascii="Century Gothic" w:hAnsi="Century Gothic" w:cs="Arial"/>
                <w:sz w:val="20"/>
                <w:szCs w:val="20"/>
              </w:rPr>
            </w:pPr>
            <w:r>
              <w:rPr>
                <w:rFonts w:cs="Arial" w:ascii="Century Gothic" w:hAnsi="Century Gothic"/>
                <w:sz w:val="20"/>
                <w:szCs w:val="20"/>
              </w:rPr>
            </w:r>
          </w:p>
        </w:tc>
        <w:tc>
          <w:tcPr>
            <w:tcW w:w="1343" w:type="dxa"/>
            <w:tcBorders>
              <w:left w:val="single" w:sz="2" w:space="0" w:color="000000"/>
              <w:bottom w:val="single" w:sz="2" w:space="0" w:color="000000"/>
            </w:tcBorders>
          </w:tcPr>
          <w:p>
            <w:pPr>
              <w:pStyle w:val="Normal"/>
              <w:widowControl w:val="false"/>
              <w:ind w:right="-30" w:hanging="0"/>
              <w:jc w:val="center"/>
              <w:rPr>
                <w:rFonts w:ascii="Century Gothic" w:hAnsi="Century Gothic" w:cs="Arial"/>
                <w:sz w:val="20"/>
                <w:szCs w:val="20"/>
              </w:rPr>
            </w:pPr>
            <w:r>
              <w:rPr>
                <w:rFonts w:cs="Arial" w:ascii="Century Gothic" w:hAnsi="Century Gothic"/>
                <w:sz w:val="20"/>
                <w:szCs w:val="20"/>
              </w:rPr>
            </w:r>
          </w:p>
        </w:tc>
        <w:tc>
          <w:tcPr>
            <w:tcW w:w="1134" w:type="dxa"/>
            <w:tcBorders>
              <w:left w:val="single" w:sz="2" w:space="0" w:color="000000"/>
              <w:bottom w:val="single" w:sz="2" w:space="0" w:color="000000"/>
            </w:tcBorders>
          </w:tcPr>
          <w:p>
            <w:pPr>
              <w:pStyle w:val="Normal"/>
              <w:widowControl w:val="false"/>
              <w:ind w:right="-30" w:hanging="0"/>
              <w:jc w:val="center"/>
              <w:rPr>
                <w:rFonts w:ascii="Century Gothic" w:hAnsi="Century Gothic" w:cs="Arial"/>
                <w:sz w:val="20"/>
                <w:szCs w:val="20"/>
              </w:rPr>
            </w:pPr>
            <w:r>
              <w:rPr>
                <w:rFonts w:cs="Arial" w:ascii="Century Gothic" w:hAnsi="Century Gothic"/>
                <w:sz w:val="20"/>
                <w:szCs w:val="20"/>
              </w:rPr>
            </w:r>
          </w:p>
        </w:tc>
        <w:tc>
          <w:tcPr>
            <w:tcW w:w="1273" w:type="dxa"/>
            <w:tcBorders>
              <w:left w:val="single" w:sz="2" w:space="0" w:color="000000"/>
              <w:bottom w:val="single" w:sz="2" w:space="0" w:color="000000"/>
              <w:right w:val="single" w:sz="2" w:space="0" w:color="000000"/>
            </w:tcBorders>
          </w:tcPr>
          <w:p>
            <w:pPr>
              <w:pStyle w:val="Normal"/>
              <w:widowControl w:val="false"/>
              <w:ind w:right="-30" w:hanging="0"/>
              <w:jc w:val="center"/>
              <w:rPr>
                <w:rFonts w:ascii="Century Gothic" w:hAnsi="Century Gothic" w:cs="Arial"/>
                <w:sz w:val="20"/>
                <w:szCs w:val="20"/>
              </w:rPr>
            </w:pPr>
            <w:r>
              <w:rPr>
                <w:rFonts w:cs="Arial" w:ascii="Century Gothic" w:hAnsi="Century Gothic"/>
                <w:sz w:val="20"/>
                <w:szCs w:val="20"/>
              </w:rPr>
            </w:r>
          </w:p>
        </w:tc>
      </w:tr>
      <w:tr>
        <w:trPr>
          <w:trHeight w:val="174" w:hRule="atLeast"/>
        </w:trPr>
        <w:tc>
          <w:tcPr>
            <w:tcW w:w="495" w:type="dxa"/>
            <w:tcBorders>
              <w:left w:val="single" w:sz="2" w:space="0" w:color="000000"/>
              <w:bottom w:val="single" w:sz="2" w:space="0" w:color="000000"/>
            </w:tcBorders>
          </w:tcPr>
          <w:p>
            <w:pPr>
              <w:pStyle w:val="Normal"/>
              <w:widowControl w:val="false"/>
              <w:ind w:right="-30" w:hanging="0"/>
              <w:jc w:val="both"/>
              <w:rPr>
                <w:rFonts w:ascii="Century Gothic" w:hAnsi="Century Gothic" w:cs="Arial"/>
                <w:sz w:val="20"/>
                <w:szCs w:val="20"/>
              </w:rPr>
            </w:pPr>
            <w:r>
              <w:rPr>
                <w:rFonts w:cs="Arial" w:ascii="Century Gothic" w:hAnsi="Century Gothic"/>
                <w:sz w:val="20"/>
                <w:szCs w:val="20"/>
              </w:rPr>
            </w:r>
          </w:p>
        </w:tc>
        <w:tc>
          <w:tcPr>
            <w:tcW w:w="1186" w:type="dxa"/>
            <w:tcBorders>
              <w:left w:val="single" w:sz="2" w:space="0" w:color="000000"/>
              <w:bottom w:val="single" w:sz="2" w:space="0" w:color="000000"/>
            </w:tcBorders>
          </w:tcPr>
          <w:p>
            <w:pPr>
              <w:pStyle w:val="Normal"/>
              <w:widowControl w:val="false"/>
              <w:ind w:right="-30" w:hanging="0"/>
              <w:jc w:val="both"/>
              <w:rPr>
                <w:rFonts w:ascii="Century Gothic" w:hAnsi="Century Gothic" w:cs="Arial"/>
                <w:sz w:val="20"/>
                <w:szCs w:val="20"/>
              </w:rPr>
            </w:pPr>
            <w:r>
              <w:rPr>
                <w:rFonts w:cs="Arial" w:ascii="Century Gothic" w:hAnsi="Century Gothic"/>
                <w:sz w:val="20"/>
                <w:szCs w:val="20"/>
              </w:rPr>
            </w:r>
          </w:p>
        </w:tc>
        <w:tc>
          <w:tcPr>
            <w:tcW w:w="1403" w:type="dxa"/>
            <w:tcBorders>
              <w:left w:val="single" w:sz="2" w:space="0" w:color="000000"/>
              <w:bottom w:val="single" w:sz="2" w:space="0" w:color="000000"/>
            </w:tcBorders>
          </w:tcPr>
          <w:p>
            <w:pPr>
              <w:pStyle w:val="Normal"/>
              <w:widowControl w:val="false"/>
              <w:ind w:right="-30" w:hanging="0"/>
              <w:jc w:val="both"/>
              <w:rPr>
                <w:rFonts w:ascii="Century Gothic" w:hAnsi="Century Gothic" w:cs="Arial"/>
                <w:sz w:val="20"/>
                <w:szCs w:val="20"/>
              </w:rPr>
            </w:pPr>
            <w:r>
              <w:rPr>
                <w:rFonts w:cs="Arial" w:ascii="Century Gothic" w:hAnsi="Century Gothic"/>
                <w:sz w:val="20"/>
                <w:szCs w:val="20"/>
              </w:rPr>
            </w:r>
          </w:p>
        </w:tc>
        <w:tc>
          <w:tcPr>
            <w:tcW w:w="1539" w:type="dxa"/>
            <w:tcBorders>
              <w:left w:val="single" w:sz="2" w:space="0" w:color="000000"/>
              <w:bottom w:val="single" w:sz="2" w:space="0" w:color="000000"/>
            </w:tcBorders>
          </w:tcPr>
          <w:p>
            <w:pPr>
              <w:pStyle w:val="Normal"/>
              <w:widowControl w:val="false"/>
              <w:ind w:right="-30" w:hanging="0"/>
              <w:jc w:val="both"/>
              <w:rPr>
                <w:rFonts w:ascii="Century Gothic" w:hAnsi="Century Gothic" w:cs="Arial"/>
                <w:sz w:val="20"/>
                <w:szCs w:val="20"/>
              </w:rPr>
            </w:pPr>
            <w:r>
              <w:rPr>
                <w:rFonts w:cs="Arial" w:ascii="Century Gothic" w:hAnsi="Century Gothic"/>
                <w:sz w:val="20"/>
                <w:szCs w:val="20"/>
              </w:rPr>
            </w:r>
          </w:p>
        </w:tc>
        <w:tc>
          <w:tcPr>
            <w:tcW w:w="1123" w:type="dxa"/>
            <w:tcBorders>
              <w:left w:val="single" w:sz="2" w:space="0" w:color="000000"/>
              <w:bottom w:val="single" w:sz="2" w:space="0" w:color="000000"/>
            </w:tcBorders>
          </w:tcPr>
          <w:p>
            <w:pPr>
              <w:pStyle w:val="Normal"/>
              <w:widowControl w:val="false"/>
              <w:ind w:right="-30" w:hanging="0"/>
              <w:jc w:val="both"/>
              <w:rPr>
                <w:rFonts w:ascii="Century Gothic" w:hAnsi="Century Gothic" w:cs="Arial"/>
                <w:sz w:val="20"/>
                <w:szCs w:val="20"/>
              </w:rPr>
            </w:pPr>
            <w:r>
              <w:rPr>
                <w:rFonts w:cs="Arial" w:ascii="Century Gothic" w:hAnsi="Century Gothic"/>
                <w:sz w:val="20"/>
                <w:szCs w:val="20"/>
              </w:rPr>
            </w:r>
          </w:p>
        </w:tc>
        <w:tc>
          <w:tcPr>
            <w:tcW w:w="1343" w:type="dxa"/>
            <w:tcBorders>
              <w:left w:val="single" w:sz="2" w:space="0" w:color="000000"/>
              <w:bottom w:val="single" w:sz="2" w:space="0" w:color="000000"/>
            </w:tcBorders>
          </w:tcPr>
          <w:p>
            <w:pPr>
              <w:pStyle w:val="Normal"/>
              <w:widowControl w:val="false"/>
              <w:ind w:right="-30" w:hanging="0"/>
              <w:jc w:val="both"/>
              <w:rPr>
                <w:rFonts w:ascii="Century Gothic" w:hAnsi="Century Gothic" w:cs="Arial"/>
                <w:sz w:val="20"/>
                <w:szCs w:val="20"/>
              </w:rPr>
            </w:pPr>
            <w:r>
              <w:rPr>
                <w:rFonts w:cs="Arial" w:ascii="Century Gothic" w:hAnsi="Century Gothic"/>
                <w:sz w:val="20"/>
                <w:szCs w:val="20"/>
              </w:rPr>
            </w:r>
          </w:p>
        </w:tc>
        <w:tc>
          <w:tcPr>
            <w:tcW w:w="1134" w:type="dxa"/>
            <w:tcBorders>
              <w:left w:val="single" w:sz="2" w:space="0" w:color="000000"/>
              <w:bottom w:val="single" w:sz="2" w:space="0" w:color="000000"/>
            </w:tcBorders>
          </w:tcPr>
          <w:p>
            <w:pPr>
              <w:pStyle w:val="Normal"/>
              <w:widowControl w:val="false"/>
              <w:ind w:right="-30" w:hanging="0"/>
              <w:jc w:val="both"/>
              <w:rPr>
                <w:rFonts w:ascii="Century Gothic" w:hAnsi="Century Gothic" w:cs="Arial"/>
                <w:sz w:val="20"/>
                <w:szCs w:val="20"/>
              </w:rPr>
            </w:pPr>
            <w:r>
              <w:rPr>
                <w:rFonts w:cs="Arial" w:ascii="Century Gothic" w:hAnsi="Century Gothic"/>
                <w:sz w:val="20"/>
                <w:szCs w:val="20"/>
              </w:rPr>
            </w:r>
          </w:p>
        </w:tc>
        <w:tc>
          <w:tcPr>
            <w:tcW w:w="1273" w:type="dxa"/>
            <w:tcBorders>
              <w:left w:val="single" w:sz="2" w:space="0" w:color="000000"/>
              <w:bottom w:val="single" w:sz="2" w:space="0" w:color="000000"/>
              <w:right w:val="single" w:sz="2" w:space="0" w:color="000000"/>
            </w:tcBorders>
          </w:tcPr>
          <w:p>
            <w:pPr>
              <w:pStyle w:val="Normal"/>
              <w:widowControl w:val="false"/>
              <w:ind w:right="-30" w:hanging="0"/>
              <w:jc w:val="both"/>
              <w:rPr>
                <w:rFonts w:ascii="Century Gothic" w:hAnsi="Century Gothic" w:cs="Arial"/>
                <w:sz w:val="20"/>
                <w:szCs w:val="20"/>
              </w:rPr>
            </w:pPr>
            <w:r>
              <w:rPr>
                <w:rFonts w:cs="Arial" w:ascii="Century Gothic" w:hAnsi="Century Gothic"/>
                <w:sz w:val="20"/>
                <w:szCs w:val="20"/>
              </w:rPr>
            </w:r>
          </w:p>
        </w:tc>
      </w:tr>
    </w:tbl>
    <w:p>
      <w:pPr>
        <w:pStyle w:val="Normal"/>
        <w:widowControl w:val="false"/>
        <w:numPr>
          <w:ilvl w:val="0"/>
          <w:numId w:val="1"/>
        </w:numPr>
        <w:spacing w:before="240" w:after="0"/>
        <w:jc w:val="both"/>
        <w:rPr>
          <w:rFonts w:ascii="Century Gothic" w:hAnsi="Century Gothic" w:cs="Arial"/>
          <w:b/>
          <w:b/>
          <w:sz w:val="20"/>
          <w:szCs w:val="20"/>
        </w:rPr>
      </w:pPr>
      <w:r>
        <w:rPr>
          <w:rFonts w:cs="Arial" w:ascii="Century Gothic" w:hAnsi="Century Gothic"/>
          <w:b/>
          <w:bCs/>
          <w:iCs/>
          <w:sz w:val="20"/>
          <w:szCs w:val="20"/>
        </w:rPr>
        <w:t>ÓRGÃO GERENCIADOR E PARTICIPANTE</w:t>
      </w:r>
    </w:p>
    <w:p>
      <w:pPr>
        <w:pStyle w:val="Normal"/>
        <w:numPr>
          <w:ilvl w:val="1"/>
          <w:numId w:val="1"/>
        </w:numPr>
        <w:spacing w:lineRule="auto" w:line="276" w:before="120" w:after="120"/>
        <w:ind w:left="792" w:hanging="432"/>
        <w:jc w:val="both"/>
        <w:rPr>
          <w:rFonts w:ascii="Century Gothic" w:hAnsi="Century Gothic" w:cs="Arial"/>
          <w:szCs w:val="20"/>
        </w:rPr>
      </w:pPr>
      <w:r>
        <w:rPr>
          <w:rFonts w:cs="Arial" w:ascii="Century Gothic" w:hAnsi="Century Gothic"/>
          <w:sz w:val="20"/>
          <w:szCs w:val="20"/>
        </w:rPr>
        <w:t>O órgão gerenciador será o Consórcio Intermunicipal de Saúde da Microrregião de Viçosa – CISMIV.</w:t>
      </w:r>
    </w:p>
    <w:p>
      <w:pPr>
        <w:pStyle w:val="Nivel1"/>
        <w:numPr>
          <w:ilvl w:val="0"/>
          <w:numId w:val="1"/>
        </w:numPr>
        <w:rPr>
          <w:rFonts w:ascii="Century Gothic" w:hAnsi="Century Gothic"/>
          <w:i/>
          <w:i/>
          <w:lang w:eastAsia="en-US"/>
        </w:rPr>
      </w:pPr>
      <w:r>
        <w:rPr>
          <w:rFonts w:ascii="Century Gothic" w:hAnsi="Century Gothic"/>
          <w:lang w:eastAsia="en-US"/>
        </w:rPr>
        <w:t>DA ADESÃO À ATA DE REGISTRO DE PREÇOS</w:t>
      </w:r>
    </w:p>
    <w:p>
      <w:pPr>
        <w:pStyle w:val="ListParagraph"/>
        <w:numPr>
          <w:ilvl w:val="1"/>
          <w:numId w:val="3"/>
        </w:numPr>
        <w:spacing w:lineRule="auto" w:line="276" w:before="120" w:after="120"/>
        <w:ind w:left="0" w:firstLine="425"/>
        <w:contextualSpacing/>
        <w:jc w:val="both"/>
        <w:rPr>
          <w:rFonts w:ascii="Century Gothic" w:hAnsi="Century Gothic"/>
          <w:iCs/>
        </w:rPr>
      </w:pPr>
      <w:r>
        <w:rPr>
          <w:rFonts w:cs="Arial" w:ascii="Century Gothic" w:hAnsi="Century Gothic"/>
          <w:sz w:val="20"/>
          <w:szCs w:val="20"/>
          <w:lang w:eastAsia="en-US"/>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Federal nº 7892, de 23 de janeiro de 2013.</w:t>
      </w:r>
    </w:p>
    <w:p>
      <w:pPr>
        <w:pStyle w:val="Normal"/>
        <w:spacing w:lineRule="auto" w:line="276" w:before="120" w:after="120"/>
        <w:jc w:val="both"/>
        <w:rPr>
          <w:rFonts w:ascii="Century Gothic" w:hAnsi="Century Gothic" w:cs="Arial"/>
          <w:b/>
          <w:b/>
          <w:sz w:val="20"/>
          <w:szCs w:val="20"/>
        </w:rPr>
      </w:pPr>
      <w:r>
        <w:rPr>
          <w:rFonts w:cs="Arial" w:ascii="Century Gothic" w:hAnsi="Century Gothic"/>
          <w:b/>
          <w:sz w:val="20"/>
          <w:szCs w:val="20"/>
        </w:rPr>
        <w:t>5.0.  VALIDADE DA ATA</w:t>
      </w:r>
    </w:p>
    <w:p>
      <w:pPr>
        <w:pStyle w:val="Normal"/>
        <w:spacing w:lineRule="auto" w:line="276" w:before="120" w:after="120"/>
        <w:jc w:val="both"/>
        <w:rPr>
          <w:rFonts w:ascii="Century Gothic" w:hAnsi="Century Gothic"/>
          <w:iCs/>
        </w:rPr>
      </w:pPr>
      <w:r>
        <w:rPr>
          <w:rFonts w:cs="Arial" w:ascii="Century Gothic" w:hAnsi="Century Gothic"/>
          <w:sz w:val="20"/>
          <w:szCs w:val="20"/>
        </w:rPr>
        <w:t xml:space="preserve"> </w:t>
      </w:r>
      <w:r>
        <w:rPr>
          <w:rFonts w:cs="Arial" w:ascii="Century Gothic" w:hAnsi="Century Gothic"/>
          <w:sz w:val="20"/>
          <w:szCs w:val="20"/>
        </w:rPr>
        <w:t>5.1 validade da Ata de Registro de Preços será de 12 meses, a partir do(a)................................, não podendo ser prorrogada.</w:t>
      </w:r>
    </w:p>
    <w:p>
      <w:pPr>
        <w:pStyle w:val="Normal"/>
        <w:widowControl w:val="false"/>
        <w:spacing w:before="240" w:after="0"/>
        <w:ind w:right="-143" w:hanging="0"/>
        <w:jc w:val="both"/>
        <w:rPr>
          <w:rFonts w:ascii="Century Gothic" w:hAnsi="Century Gothic" w:cs="Arial"/>
          <w:iCs/>
          <w:sz w:val="20"/>
          <w:szCs w:val="20"/>
        </w:rPr>
      </w:pPr>
      <w:r>
        <w:rPr>
          <w:rFonts w:cs="Arial" w:ascii="Century Gothic" w:hAnsi="Century Gothic"/>
          <w:b/>
          <w:bCs/>
          <w:sz w:val="20"/>
          <w:szCs w:val="20"/>
        </w:rPr>
        <w:t>6. REVISÃO E CANCELAMENTO</w:t>
      </w:r>
    </w:p>
    <w:p>
      <w:pPr>
        <w:pStyle w:val="ListParagraph"/>
        <w:numPr>
          <w:ilvl w:val="1"/>
          <w:numId w:val="4"/>
        </w:numPr>
        <w:spacing w:lineRule="auto" w:line="276" w:before="120" w:after="120"/>
        <w:ind w:left="0" w:right="-143" w:hanging="0"/>
        <w:contextualSpacing/>
        <w:jc w:val="both"/>
        <w:rPr>
          <w:rFonts w:ascii="Century Gothic" w:hAnsi="Century Gothic" w:cs="Arial"/>
          <w:sz w:val="20"/>
          <w:szCs w:val="20"/>
        </w:rPr>
      </w:pPr>
      <w:r>
        <w:rPr>
          <w:rFonts w:cs="Arial" w:ascii="Century Gothic" w:hAnsi="Century Gothic"/>
          <w:sz w:val="20"/>
          <w:szCs w:val="20"/>
        </w:rPr>
        <w:t>A Administração poderá realizar pesquisa de mercado periodicamente, a fim de verificar a vantajosidade dos preços registrados nesta Ata, principalmente se o Setor requisitante tomar conhecimento de redução de preços dos itens no mercado.</w:t>
      </w:r>
    </w:p>
    <w:p>
      <w:pPr>
        <w:pStyle w:val="ListParagraph"/>
        <w:numPr>
          <w:ilvl w:val="1"/>
          <w:numId w:val="4"/>
        </w:numPr>
        <w:spacing w:lineRule="auto" w:line="276" w:before="120" w:after="120"/>
        <w:ind w:left="0" w:right="-143" w:hanging="0"/>
        <w:contextualSpacing/>
        <w:jc w:val="both"/>
        <w:rPr>
          <w:rFonts w:ascii="Century Gothic" w:hAnsi="Century Gothic" w:cs="Arial"/>
          <w:sz w:val="20"/>
          <w:szCs w:val="20"/>
        </w:rPr>
      </w:pPr>
      <w:r>
        <w:rPr>
          <w:rFonts w:cs="Arial" w:ascii="Century Gothic" w:hAnsi="Century Gothic"/>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pPr>
        <w:pStyle w:val="ListParagraph"/>
        <w:numPr>
          <w:ilvl w:val="1"/>
          <w:numId w:val="4"/>
        </w:numPr>
        <w:spacing w:lineRule="auto" w:line="276" w:before="120" w:after="120"/>
        <w:ind w:left="142" w:right="-143" w:hanging="142"/>
        <w:contextualSpacing/>
        <w:jc w:val="both"/>
        <w:rPr>
          <w:rFonts w:ascii="Century Gothic" w:hAnsi="Century Gothic" w:cs="Arial"/>
          <w:sz w:val="20"/>
          <w:szCs w:val="20"/>
        </w:rPr>
      </w:pPr>
      <w:r>
        <w:rPr>
          <w:rFonts w:cs="Arial" w:ascii="Century Gothic" w:hAnsi="Century Gothic"/>
          <w:sz w:val="20"/>
          <w:szCs w:val="20"/>
        </w:rPr>
        <w:t>Quando o preço registrado tornar-se superior ao preço praticado no mercado por motivo superveniente, a Administração convocará o(s) fornecedor(es) para negociar(em) a redução dos preços aos valores praticados pelo mercado.</w:t>
      </w:r>
    </w:p>
    <w:p>
      <w:pPr>
        <w:pStyle w:val="ListParagraph"/>
        <w:numPr>
          <w:ilvl w:val="1"/>
          <w:numId w:val="4"/>
        </w:numPr>
        <w:spacing w:lineRule="auto" w:line="276" w:before="120" w:after="120"/>
        <w:ind w:left="142" w:hanging="0"/>
        <w:contextualSpacing/>
        <w:jc w:val="both"/>
        <w:rPr>
          <w:rFonts w:ascii="Century Gothic" w:hAnsi="Century Gothic" w:cs="Arial"/>
          <w:sz w:val="20"/>
          <w:szCs w:val="20"/>
        </w:rPr>
      </w:pPr>
      <w:r>
        <w:rPr>
          <w:rFonts w:cs="Arial" w:ascii="Century Gothic" w:hAnsi="Century Gothic"/>
          <w:sz w:val="20"/>
          <w:szCs w:val="20"/>
        </w:rPr>
        <w:t>O fornecedor que não aceitar reduzir seu preço ao valor praticado pelo mercado será liberado do compromisso assumido, sem aplicação de penalidade.</w:t>
      </w:r>
    </w:p>
    <w:p>
      <w:pPr>
        <w:pStyle w:val="Normal"/>
        <w:numPr>
          <w:ilvl w:val="2"/>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A ordem de classificação dos fornecedores que aceitarem reduzir seus preços aos valores de mercado observará a classificação original.</w:t>
      </w:r>
    </w:p>
    <w:p>
      <w:pPr>
        <w:pStyle w:val="Normal"/>
        <w:numPr>
          <w:ilvl w:val="1"/>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Quando o preço de mercado tornar-se superior aos preços registrados e o fornecedor não puder cumprir o compromisso, o órgão gerenciador poderá:</w:t>
      </w:r>
    </w:p>
    <w:p>
      <w:pPr>
        <w:pStyle w:val="Normal"/>
        <w:numPr>
          <w:ilvl w:val="2"/>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liberar o fornecedor do compromisso assumido, caso a comunicação ocorra antes do pedido de fornecimento, e sem aplicação da penalidade se confirmada a veracidade dos motivos e comprovantes apresentados; e</w:t>
      </w:r>
    </w:p>
    <w:p>
      <w:pPr>
        <w:pStyle w:val="Normal"/>
        <w:numPr>
          <w:ilvl w:val="2"/>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convocar os demais fornecedores para assegurar igual oportunidade de negociação.</w:t>
      </w:r>
    </w:p>
    <w:p>
      <w:pPr>
        <w:pStyle w:val="Normal"/>
        <w:numPr>
          <w:ilvl w:val="1"/>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Não havendo êxito nas negociações, o órgão gerenciador deverá proceder à revogação desta ata de registro de preços, adotando as medidas cabíveis para obtenção da contratação mais vantajosa.</w:t>
      </w:r>
    </w:p>
    <w:p>
      <w:pPr>
        <w:pStyle w:val="Normal"/>
        <w:numPr>
          <w:ilvl w:val="1"/>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O registro do fornecedor será cancelado quando:</w:t>
      </w:r>
    </w:p>
    <w:p>
      <w:pPr>
        <w:pStyle w:val="Normal"/>
        <w:numPr>
          <w:ilvl w:val="2"/>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descumprir as condições da ata de registro de preços;</w:t>
      </w:r>
    </w:p>
    <w:p>
      <w:pPr>
        <w:pStyle w:val="Normal"/>
        <w:numPr>
          <w:ilvl w:val="2"/>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não retirar a nota de empenho ou instrumento equivalente no prazo estabelecido pela Administração, sem justificativa aceitável;</w:t>
      </w:r>
    </w:p>
    <w:p>
      <w:pPr>
        <w:pStyle w:val="Normal"/>
        <w:numPr>
          <w:ilvl w:val="2"/>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não aceitar reduzir o seu preço registrado, na hipótese deste se tornar superior àqueles praticados no mercado; ou</w:t>
      </w:r>
    </w:p>
    <w:p>
      <w:pPr>
        <w:pStyle w:val="Normal"/>
        <w:numPr>
          <w:ilvl w:val="2"/>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sofrer sanção administrativa cujo efeito torne-o proibido de celebrar contrato administrativo, alcançando o órgão gerenciador e órgão(s) participante(s).</w:t>
      </w:r>
    </w:p>
    <w:p>
      <w:pPr>
        <w:pStyle w:val="Normal"/>
        <w:numPr>
          <w:ilvl w:val="1"/>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O cancelamento de registros nas hipóteses previstas nos itens 6.7.1, 6.7.2 e 6.7.4 será formalizado por despacho do órgão gerenciador, assegurado o contraditório e a ampla defesa.</w:t>
      </w:r>
    </w:p>
    <w:p>
      <w:pPr>
        <w:pStyle w:val="Normal"/>
        <w:numPr>
          <w:ilvl w:val="1"/>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O cancelamento do registro de preços poderá ocorrer por fato superveniente, decorrente de caso fortuito ou força maior, que prejudique o cumprimento da ata, devidamente comprovados e justificados:</w:t>
      </w:r>
    </w:p>
    <w:p>
      <w:pPr>
        <w:pStyle w:val="Normal"/>
        <w:numPr>
          <w:ilvl w:val="2"/>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por razão de interesse público; ou</w:t>
      </w:r>
    </w:p>
    <w:p>
      <w:pPr>
        <w:pStyle w:val="Normal"/>
        <w:numPr>
          <w:ilvl w:val="2"/>
          <w:numId w:val="4"/>
        </w:numPr>
        <w:spacing w:lineRule="auto" w:line="276" w:before="120" w:after="120"/>
        <w:ind w:left="142" w:hanging="0"/>
        <w:jc w:val="both"/>
        <w:rPr>
          <w:rFonts w:ascii="Century Gothic" w:hAnsi="Century Gothic" w:cs="Arial"/>
          <w:sz w:val="20"/>
          <w:szCs w:val="20"/>
        </w:rPr>
      </w:pPr>
      <w:r>
        <w:rPr>
          <w:rFonts w:cs="Arial" w:ascii="Century Gothic" w:hAnsi="Century Gothic"/>
          <w:sz w:val="20"/>
          <w:szCs w:val="20"/>
        </w:rPr>
        <w:t>a pedido do fornecedor. </w:t>
      </w:r>
    </w:p>
    <w:p>
      <w:pPr>
        <w:pStyle w:val="Nivel1"/>
        <w:numPr>
          <w:ilvl w:val="0"/>
          <w:numId w:val="4"/>
        </w:numPr>
        <w:ind w:left="142" w:right="-143" w:hanging="0"/>
        <w:rPr>
          <w:rFonts w:ascii="Century Gothic" w:hAnsi="Century Gothic"/>
        </w:rPr>
      </w:pPr>
      <w:r>
        <w:rPr>
          <w:rFonts w:ascii="Century Gothic" w:hAnsi="Century Gothic"/>
        </w:rPr>
        <w:t>DAS PENALIDADES</w:t>
      </w:r>
    </w:p>
    <w:p>
      <w:pPr>
        <w:pStyle w:val="Normal"/>
        <w:numPr>
          <w:ilvl w:val="1"/>
          <w:numId w:val="4"/>
        </w:numPr>
        <w:spacing w:lineRule="auto" w:line="276" w:before="120" w:after="120"/>
        <w:ind w:left="142" w:hanging="0"/>
        <w:jc w:val="both"/>
        <w:rPr>
          <w:rFonts w:ascii="Century Gothic" w:hAnsi="Century Gothic" w:cs="Arial"/>
          <w:iCs/>
          <w:sz w:val="20"/>
          <w:szCs w:val="20"/>
        </w:rPr>
      </w:pPr>
      <w:r>
        <w:rPr>
          <w:rFonts w:cs="Arial" w:ascii="Century Gothic" w:hAnsi="Century Gothic"/>
          <w:iCs/>
          <w:sz w:val="20"/>
          <w:szCs w:val="20"/>
        </w:rPr>
        <w:t>O descumprimento da Ata de Registro de Preços ensejará aplicação das penalidades estabelecidas no Edital.</w:t>
      </w:r>
    </w:p>
    <w:p>
      <w:pPr>
        <w:pStyle w:val="Normal"/>
        <w:numPr>
          <w:ilvl w:val="2"/>
          <w:numId w:val="4"/>
        </w:numPr>
        <w:spacing w:lineRule="auto" w:line="276" w:before="120" w:after="120"/>
        <w:ind w:left="142" w:hanging="0"/>
        <w:jc w:val="both"/>
        <w:rPr>
          <w:rFonts w:ascii="Century Gothic" w:hAnsi="Century Gothic" w:cs="Arial"/>
          <w:iCs/>
          <w:sz w:val="20"/>
          <w:szCs w:val="20"/>
        </w:rPr>
      </w:pPr>
      <w:r>
        <w:rPr>
          <w:rFonts w:cs="Arial" w:ascii="Century Gothic" w:hAnsi="Century Gothic"/>
          <w:sz w:val="20"/>
          <w:szCs w:val="20"/>
        </w:rPr>
        <w:t xml:space="preserve">As sanções do item acima também se aplicam aos integrantes do cadastro de reserva, em pregão para registro de preços que, convocados, não honrarem o compromisso assumido injustificadamente, nos termos do art. 49, §1º do Decreto nº 10.024/19. </w:t>
      </w:r>
    </w:p>
    <w:p>
      <w:pPr>
        <w:pStyle w:val="Normal"/>
        <w:numPr>
          <w:ilvl w:val="1"/>
          <w:numId w:val="4"/>
        </w:numPr>
        <w:spacing w:lineRule="auto" w:line="276" w:before="120" w:after="120"/>
        <w:ind w:left="142" w:hanging="0"/>
        <w:jc w:val="both"/>
        <w:rPr>
          <w:rFonts w:ascii="Century Gothic" w:hAnsi="Century Gothic" w:cs="Arial"/>
          <w:iCs/>
          <w:sz w:val="20"/>
          <w:szCs w:val="20"/>
        </w:rPr>
      </w:pPr>
      <w:r>
        <w:rPr>
          <w:rFonts w:cs="Arial" w:ascii="Century Gothic" w:hAnsi="Century Gothic"/>
          <w:iCs/>
          <w:sz w:val="20"/>
          <w:szCs w:val="20"/>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pPr>
        <w:pStyle w:val="Normal"/>
        <w:numPr>
          <w:ilvl w:val="1"/>
          <w:numId w:val="4"/>
        </w:numPr>
        <w:spacing w:lineRule="auto" w:line="276" w:before="120" w:after="120"/>
        <w:ind w:left="142" w:hanging="0"/>
        <w:jc w:val="both"/>
        <w:rPr>
          <w:rFonts w:ascii="Century Gothic" w:hAnsi="Century Gothic" w:cs="Arial"/>
          <w:iCs/>
          <w:sz w:val="20"/>
          <w:szCs w:val="20"/>
        </w:rPr>
      </w:pPr>
      <w:r>
        <w:rPr>
          <w:rFonts w:cs="Arial" w:ascii="Century Gothic" w:hAnsi="Century Gothic"/>
          <w:iCs/>
          <w:sz w:val="20"/>
          <w:szCs w:val="20"/>
        </w:rPr>
        <w:t>O órgão participante deverá comunicar ao órgão gerenciador qualquer das ocorrências previstas no art. 20 do Decreto nº 7.892/2013, dada a necessidade de instauração de procedimento para cancelamento do registro do fornecedor.</w:t>
      </w:r>
    </w:p>
    <w:p>
      <w:pPr>
        <w:pStyle w:val="Normal"/>
        <w:widowControl w:val="false"/>
        <w:ind w:left="142" w:right="-568" w:hanging="0"/>
        <w:jc w:val="both"/>
        <w:rPr>
          <w:rFonts w:ascii="Century Gothic" w:hAnsi="Century Gothic" w:cs="Arial"/>
          <w:b/>
          <w:b/>
          <w:iCs/>
          <w:sz w:val="20"/>
          <w:szCs w:val="20"/>
        </w:rPr>
      </w:pPr>
      <w:r>
        <w:rPr>
          <w:rFonts w:cs="Arial" w:ascii="Century Gothic" w:hAnsi="Century Gothic"/>
          <w:b/>
          <w:iCs/>
          <w:sz w:val="20"/>
          <w:szCs w:val="20"/>
        </w:rPr>
      </w:r>
    </w:p>
    <w:p>
      <w:pPr>
        <w:pStyle w:val="Normal"/>
        <w:widowControl w:val="false"/>
        <w:numPr>
          <w:ilvl w:val="0"/>
          <w:numId w:val="4"/>
        </w:numPr>
        <w:ind w:left="142" w:right="-2" w:hanging="0"/>
        <w:jc w:val="both"/>
        <w:rPr>
          <w:rFonts w:ascii="Century Gothic" w:hAnsi="Century Gothic" w:cs="Arial"/>
          <w:b/>
          <w:b/>
          <w:iCs/>
          <w:sz w:val="20"/>
          <w:szCs w:val="20"/>
        </w:rPr>
      </w:pPr>
      <w:r>
        <w:rPr>
          <w:rFonts w:cs="Arial" w:ascii="Century Gothic" w:hAnsi="Century Gothic"/>
          <w:b/>
          <w:bCs/>
          <w:iCs/>
          <w:sz w:val="20"/>
          <w:szCs w:val="20"/>
        </w:rPr>
        <w:t>CONDIÇÕES GERAIS</w:t>
      </w:r>
    </w:p>
    <w:p>
      <w:pPr>
        <w:pStyle w:val="Normal"/>
        <w:numPr>
          <w:ilvl w:val="1"/>
          <w:numId w:val="4"/>
        </w:numPr>
        <w:spacing w:lineRule="auto" w:line="276" w:before="120" w:after="120"/>
        <w:ind w:left="142" w:right="-2" w:hanging="0"/>
        <w:jc w:val="both"/>
        <w:rPr>
          <w:rFonts w:ascii="Century Gothic" w:hAnsi="Century Gothic" w:cs="Arial"/>
          <w:iCs/>
          <w:sz w:val="20"/>
          <w:szCs w:val="20"/>
        </w:rPr>
      </w:pPr>
      <w:r>
        <w:rPr>
          <w:rFonts w:cs="Arial" w:ascii="Century Gothic" w:hAnsi="Century Gothic"/>
          <w:iCs/>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pPr>
        <w:pStyle w:val="Normal"/>
        <w:spacing w:lineRule="auto" w:line="276" w:before="120" w:after="120"/>
        <w:ind w:left="142" w:right="-2" w:hanging="0"/>
        <w:jc w:val="both"/>
        <w:rPr>
          <w:rFonts w:ascii="Century Gothic" w:hAnsi="Century Gothic" w:cs="Arial"/>
          <w:sz w:val="20"/>
          <w:szCs w:val="20"/>
          <w:highlight w:val="cyan"/>
        </w:rPr>
      </w:pPr>
      <w:r>
        <w:rPr>
          <w:rFonts w:cs="Arial" w:ascii="Century Gothic" w:hAnsi="Century Gothic"/>
          <w:iCs/>
          <w:sz w:val="20"/>
          <w:szCs w:val="20"/>
        </w:rPr>
        <w:t>8.2. É vedado efetuar acréscimos nos quantitativos fixados nesta ata de registro de preços, inclusive o acréscimo de que trata o § 1º do art</w:t>
      </w:r>
      <w:r>
        <w:rPr>
          <w:rFonts w:cs="Arial" w:ascii="Century Gothic" w:hAnsi="Century Gothic"/>
          <w:sz w:val="20"/>
          <w:szCs w:val="20"/>
        </w:rPr>
        <w:t>. 65 da Lei nº 8.666/93nos termos do art. 12, §1º do Decreto nº 19/2019 do CISMIV.</w:t>
      </w:r>
    </w:p>
    <w:p>
      <w:pPr>
        <w:pStyle w:val="Normal"/>
        <w:widowControl w:val="false"/>
        <w:numPr>
          <w:ilvl w:val="1"/>
          <w:numId w:val="4"/>
        </w:numPr>
        <w:spacing w:lineRule="auto" w:line="276" w:before="120" w:after="120"/>
        <w:ind w:left="142" w:right="-2" w:hanging="0"/>
        <w:jc w:val="both"/>
        <w:rPr>
          <w:rFonts w:ascii="Century Gothic" w:hAnsi="Century Gothic" w:cs="Arial"/>
          <w:sz w:val="20"/>
          <w:szCs w:val="20"/>
        </w:rPr>
      </w:pPr>
      <w:r>
        <w:rPr>
          <w:rFonts w:cs="Arial" w:ascii="Century Gothic" w:hAnsi="Century Gothic"/>
          <w:iCs/>
          <w:sz w:val="20"/>
          <w:szCs w:val="20"/>
        </w:rPr>
        <w:t>A ata de realização da sessão pública do pregão, contendo a relação dos licitantes que aceitarem cotar os bens ou serviços com preços iguais ao do licitante vencedor do certame, será anexada a esta Ata de Registro de Preços, nos termos do art. 11, §4º do Decreto n. 19/2019 do CISMIV.</w:t>
      </w:r>
    </w:p>
    <w:p>
      <w:pPr>
        <w:pStyle w:val="Normal"/>
        <w:widowControl w:val="false"/>
        <w:ind w:left="142" w:right="-2" w:hanging="0"/>
        <w:jc w:val="both"/>
        <w:rPr>
          <w:rFonts w:ascii="Century Gothic" w:hAnsi="Century Gothic" w:cs="Arial"/>
          <w:i/>
          <w:i/>
          <w:iCs/>
          <w:sz w:val="20"/>
          <w:szCs w:val="20"/>
        </w:rPr>
      </w:pPr>
      <w:r>
        <w:rPr>
          <w:rFonts w:cs="Arial" w:ascii="Century Gothic" w:hAnsi="Century Gothic"/>
          <w:sz w:val="20"/>
          <w:szCs w:val="20"/>
        </w:rPr>
        <w:t>Para firmeza e validade do pactuado, a presente Ata foi lavrada em.... (....) vias de igual teor, que, depois de lida e achada em ordem, vai assinada pelas partes</w:t>
      </w:r>
      <w:r>
        <w:rPr>
          <w:rFonts w:cs="Arial" w:ascii="Century Gothic" w:hAnsi="Century Gothic"/>
          <w:i/>
          <w:iCs/>
          <w:sz w:val="20"/>
          <w:szCs w:val="20"/>
        </w:rPr>
        <w:t>.</w:t>
      </w:r>
    </w:p>
    <w:p>
      <w:pPr>
        <w:pStyle w:val="Normal"/>
        <w:widowControl w:val="false"/>
        <w:ind w:left="142" w:right="-2" w:hanging="0"/>
        <w:jc w:val="center"/>
        <w:rPr>
          <w:rFonts w:ascii="Century Gothic" w:hAnsi="Century Gothic" w:cs="Arial"/>
          <w:sz w:val="20"/>
          <w:szCs w:val="20"/>
        </w:rPr>
      </w:pPr>
      <w:r>
        <w:rPr>
          <w:rFonts w:cs="Arial" w:ascii="Century Gothic" w:hAnsi="Century Gothic"/>
          <w:sz w:val="20"/>
          <w:szCs w:val="20"/>
        </w:rPr>
      </w:r>
    </w:p>
    <w:p>
      <w:pPr>
        <w:pStyle w:val="Normal"/>
        <w:widowControl w:val="false"/>
        <w:ind w:left="142" w:right="-2" w:hanging="0"/>
        <w:jc w:val="center"/>
        <w:rPr>
          <w:rFonts w:ascii="Century Gothic" w:hAnsi="Century Gothic" w:cs="Arial"/>
          <w:sz w:val="20"/>
          <w:szCs w:val="20"/>
        </w:rPr>
      </w:pPr>
      <w:r>
        <w:rPr>
          <w:rFonts w:cs="Arial" w:ascii="Century Gothic" w:hAnsi="Century Gothic"/>
          <w:sz w:val="20"/>
          <w:szCs w:val="20"/>
        </w:rPr>
        <w:t>Local e data</w:t>
      </w:r>
    </w:p>
    <w:p>
      <w:pPr>
        <w:pStyle w:val="Normal"/>
        <w:widowControl w:val="false"/>
        <w:ind w:left="142" w:right="-2" w:hanging="0"/>
        <w:jc w:val="center"/>
        <w:rPr>
          <w:rFonts w:ascii="Century Gothic" w:hAnsi="Century Gothic" w:cs="Arial"/>
          <w:sz w:val="20"/>
          <w:szCs w:val="20"/>
        </w:rPr>
      </w:pPr>
      <w:r>
        <w:rPr>
          <w:rFonts w:cs="Arial" w:ascii="Century Gothic" w:hAnsi="Century Gothic"/>
          <w:sz w:val="20"/>
          <w:szCs w:val="20"/>
        </w:rPr>
        <w:t>Assinaturas</w:t>
      </w:r>
    </w:p>
    <w:p>
      <w:pPr>
        <w:pStyle w:val="Normal"/>
        <w:widowControl w:val="false"/>
        <w:ind w:left="142" w:right="-2" w:hanging="0"/>
        <w:jc w:val="center"/>
        <w:rPr>
          <w:rFonts w:ascii="Century Gothic" w:hAnsi="Century Gothic" w:cs="Arial"/>
          <w:sz w:val="20"/>
          <w:szCs w:val="20"/>
        </w:rPr>
      </w:pPr>
      <w:r>
        <w:rPr>
          <w:rFonts w:cs="Arial" w:ascii="Century Gothic" w:hAnsi="Century Gothic"/>
          <w:sz w:val="20"/>
          <w:szCs w:val="20"/>
        </w:rPr>
        <w:t>Representante legal do órgão gerenciador e representante(s) legal(is) do(s) fornecedor(s) registrado(s)</w:t>
      </w:r>
    </w:p>
    <w:sectPr>
      <w:headerReference w:type="default" r:id="rId2"/>
      <w:footerReference w:type="default" r:id="rId3"/>
      <w:type w:val="nextPage"/>
      <w:pgSz w:w="11906" w:h="16838"/>
      <w:pgMar w:left="1276" w:right="1134" w:gutter="0" w:header="284" w:top="1418" w:footer="460"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Tahoma">
    <w:charset w:val="00"/>
    <w:family w:val="roman"/>
    <w:pitch w:val="variable"/>
  </w:font>
  <w:font w:name="Liberation Sans">
    <w:altName w:val="Arial"/>
    <w:charset w:val="00"/>
    <w:family w:val="roman"/>
    <w:pitch w:val="variable"/>
  </w:font>
  <w:font w:name="Century Gothic">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Times New Roman"/>
      </w:rPr>
    </w:pPr>
    <w:r>
      <w:rPr>
        <w:rFonts w:cs="Times New Roman" w:ascii="Times New Roman" w:hAnsi="Times New Roman"/>
      </w:rPr>
    </w:r>
  </w:p>
  <w:p>
    <w:pPr>
      <w:pStyle w:val="Rodap"/>
      <w:jc w:val="center"/>
      <w:rPr/>
    </w:pPr>
    <w:r>
      <w:rPr/>
      <w:drawing>
        <wp:inline distT="0" distB="0" distL="0" distR="0">
          <wp:extent cx="5506085" cy="496570"/>
          <wp:effectExtent l="0" t="0" r="0" b="0"/>
          <wp:docPr id="2" name="Imagem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4" descr=""/>
                  <pic:cNvPicPr>
                    <a:picLocks noChangeAspect="1" noChangeArrowheads="1"/>
                  </pic:cNvPicPr>
                </pic:nvPicPr>
                <pic:blipFill>
                  <a:blip r:embed="rId1"/>
                  <a:stretch>
                    <a:fillRect/>
                  </a:stretch>
                </pic:blipFill>
                <pic:spPr bwMode="auto">
                  <a:xfrm>
                    <a:off x="0" y="0"/>
                    <a:ext cx="5506085" cy="496570"/>
                  </a:xfrm>
                  <a:prstGeom prst="rect">
                    <a:avLst/>
                  </a:prstGeom>
                </pic:spPr>
              </pic:pic>
            </a:graphicData>
          </a:graphic>
        </wp:inline>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pPr>
    <w:r>
      <w:rPr/>
      <w:drawing>
        <wp:inline distT="0" distB="0" distL="0" distR="0">
          <wp:extent cx="4981575" cy="811530"/>
          <wp:effectExtent l="0" t="0" r="0" b="0"/>
          <wp:docPr id="1" name="Imagem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3" descr=""/>
                  <pic:cNvPicPr>
                    <a:picLocks noChangeAspect="1" noChangeArrowheads="1"/>
                  </pic:cNvPicPr>
                </pic:nvPicPr>
                <pic:blipFill>
                  <a:blip r:embed="rId1"/>
                  <a:stretch>
                    <a:fillRect/>
                  </a:stretch>
                </pic:blipFill>
                <pic:spPr bwMode="auto">
                  <a:xfrm>
                    <a:off x="0" y="0"/>
                    <a:ext cx="4981575" cy="8115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color w:val="auto"/>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4"/>
      <w:numFmt w:val="decimal"/>
      <w:lvlText w:val="%1"/>
      <w:lvlJc w:val="left"/>
      <w:pPr>
        <w:tabs>
          <w:tab w:val="num" w:pos="0"/>
        </w:tabs>
        <w:ind w:left="360" w:hanging="360"/>
      </w:pPr>
      <w:rPr>
        <w:sz w:val="20"/>
        <w:rFonts w:ascii="Arial" w:hAnsi="Arial" w:cs="Arial"/>
      </w:rPr>
    </w:lvl>
    <w:lvl w:ilvl="1">
      <w:start w:val="1"/>
      <w:numFmt w:val="decimal"/>
      <w:lvlText w:val="%1.%2"/>
      <w:lvlJc w:val="left"/>
      <w:pPr>
        <w:tabs>
          <w:tab w:val="num" w:pos="0"/>
        </w:tabs>
        <w:ind w:left="785" w:hanging="360"/>
      </w:pPr>
      <w:rPr>
        <w:sz w:val="20"/>
        <w:rFonts w:ascii="Arial" w:hAnsi="Arial" w:cs="Arial"/>
      </w:rPr>
    </w:lvl>
    <w:lvl w:ilvl="2">
      <w:start w:val="1"/>
      <w:numFmt w:val="decimal"/>
      <w:lvlText w:val="%1.%2.%3"/>
      <w:lvlJc w:val="left"/>
      <w:pPr>
        <w:tabs>
          <w:tab w:val="num" w:pos="0"/>
        </w:tabs>
        <w:ind w:left="1570" w:hanging="720"/>
      </w:pPr>
      <w:rPr>
        <w:sz w:val="20"/>
        <w:rFonts w:ascii="Arial" w:hAnsi="Arial" w:cs="Arial"/>
      </w:rPr>
    </w:lvl>
    <w:lvl w:ilvl="3">
      <w:start w:val="1"/>
      <w:numFmt w:val="decimal"/>
      <w:lvlText w:val="%1.%2.%3.%4"/>
      <w:lvlJc w:val="left"/>
      <w:pPr>
        <w:tabs>
          <w:tab w:val="num" w:pos="0"/>
        </w:tabs>
        <w:ind w:left="1995" w:hanging="720"/>
      </w:pPr>
      <w:rPr>
        <w:sz w:val="20"/>
        <w:rFonts w:ascii="Arial" w:hAnsi="Arial" w:cs="Arial"/>
      </w:rPr>
    </w:lvl>
    <w:lvl w:ilvl="4">
      <w:start w:val="1"/>
      <w:numFmt w:val="decimal"/>
      <w:lvlText w:val="%1.%2.%3.%4.%5"/>
      <w:lvlJc w:val="left"/>
      <w:pPr>
        <w:tabs>
          <w:tab w:val="num" w:pos="0"/>
        </w:tabs>
        <w:ind w:left="2780" w:hanging="1080"/>
      </w:pPr>
      <w:rPr>
        <w:sz w:val="20"/>
        <w:rFonts w:ascii="Arial" w:hAnsi="Arial" w:cs="Arial"/>
      </w:rPr>
    </w:lvl>
    <w:lvl w:ilvl="5">
      <w:start w:val="1"/>
      <w:numFmt w:val="decimal"/>
      <w:lvlText w:val="%1.%2.%3.%4.%5.%6"/>
      <w:lvlJc w:val="left"/>
      <w:pPr>
        <w:tabs>
          <w:tab w:val="num" w:pos="0"/>
        </w:tabs>
        <w:ind w:left="3205" w:hanging="1080"/>
      </w:pPr>
      <w:rPr>
        <w:sz w:val="20"/>
        <w:rFonts w:ascii="Arial" w:hAnsi="Arial" w:cs="Arial"/>
      </w:rPr>
    </w:lvl>
    <w:lvl w:ilvl="6">
      <w:start w:val="1"/>
      <w:numFmt w:val="decimal"/>
      <w:lvlText w:val="%1.%2.%3.%4.%5.%6.%7"/>
      <w:lvlJc w:val="left"/>
      <w:pPr>
        <w:tabs>
          <w:tab w:val="num" w:pos="0"/>
        </w:tabs>
        <w:ind w:left="3990" w:hanging="1440"/>
      </w:pPr>
      <w:rPr>
        <w:sz w:val="20"/>
        <w:rFonts w:ascii="Arial" w:hAnsi="Arial" w:cs="Arial"/>
      </w:rPr>
    </w:lvl>
    <w:lvl w:ilvl="7">
      <w:start w:val="1"/>
      <w:numFmt w:val="decimal"/>
      <w:lvlText w:val="%1.%2.%3.%4.%5.%6.%7.%8"/>
      <w:lvlJc w:val="left"/>
      <w:pPr>
        <w:tabs>
          <w:tab w:val="num" w:pos="0"/>
        </w:tabs>
        <w:ind w:left="4415" w:hanging="1440"/>
      </w:pPr>
      <w:rPr>
        <w:sz w:val="20"/>
        <w:rFonts w:ascii="Arial" w:hAnsi="Arial" w:cs="Arial"/>
      </w:rPr>
    </w:lvl>
    <w:lvl w:ilvl="8">
      <w:start w:val="1"/>
      <w:numFmt w:val="decimal"/>
      <w:lvlText w:val="%1.%2.%3.%4.%5.%6.%7.%8.%9"/>
      <w:lvlJc w:val="left"/>
      <w:pPr>
        <w:tabs>
          <w:tab w:val="num" w:pos="0"/>
        </w:tabs>
        <w:ind w:left="5200" w:hanging="1800"/>
      </w:pPr>
      <w:rPr>
        <w:sz w:val="20"/>
        <w:rFonts w:ascii="Arial" w:hAnsi="Arial" w:cs="Arial"/>
      </w:rPr>
    </w:lvl>
  </w:abstractNum>
  <w:abstractNum w:abstractNumId="4">
    <w:lvl w:ilvl="0">
      <w:start w:val="6"/>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633" w:hanging="108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695" w:hanging="144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757" w:hanging="1800"/>
      </w:pPr>
      <w:rPr/>
    </w:lvl>
    <w:lvl w:ilvl="8">
      <w:start w:val="1"/>
      <w:numFmt w:val="decimal"/>
      <w:lvlText w:val="%1.%2.%3.%4.%5.%6.%7.%8.%9"/>
      <w:lvlJc w:val="left"/>
      <w:pPr>
        <w:tabs>
          <w:tab w:val="num" w:pos="0"/>
        </w:tabs>
        <w:ind w:left="8608"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mirrorMargins/>
  <w:defaultTabStop w:val="708"/>
  <w:autoHyphenation w:val="true"/>
  <w:compat>
    <w:compatSetting w:name="compatibilityMode" w:uri="http://schemas.microsoft.com/office/word" w:val="12"/>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TextodebaloChar" w:customStyle="1">
    <w:name w:val="Texto de balão Char"/>
    <w:basedOn w:val="DefaultParagraphFont"/>
    <w:link w:val="BalloonText"/>
    <w:semiHidden/>
    <w:qFormat/>
    <w:rsid w:val="00eb3141"/>
    <w:rPr>
      <w:rFonts w:ascii="Tahoma" w:hAnsi="Tahoma" w:cs="Tahoma"/>
      <w:sz w:val="16"/>
      <w:szCs w:val="16"/>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qFormat/>
    <w:rsid w:val="00eb567f"/>
    <w:pPr>
      <w:numPr>
        <w:ilvl w:val="0"/>
        <w:numId w:val="2"/>
      </w:numPr>
      <w:tabs>
        <w:tab w:val="clear" w:pos="708"/>
        <w:tab w:val="left" w:pos="567" w:leader="none"/>
      </w:tabs>
      <w:spacing w:before="240" w:after="0"/>
      <w:jc w:val="both"/>
    </w:pPr>
    <w:rPr>
      <w:rFonts w:ascii="Ecofont_Spranq_eco_Sans" w:hAnsi="Ecofont_Spranq_eco_Sans" w:cs="Times New Roman"/>
      <w:color w:val="000000"/>
      <w:sz w:val="20"/>
      <w:szCs w:val="20"/>
    </w:rPr>
  </w:style>
  <w:style w:type="paragraph" w:styleId="BalloonText">
    <w:name w:val="Balloon Text"/>
    <w:basedOn w:val="Normal"/>
    <w:link w:val="TextodebaloChar"/>
    <w:semiHidden/>
    <w:unhideWhenUsed/>
    <w:qFormat/>
    <w:rsid w:val="00eb3141"/>
    <w:pPr/>
    <w:rPr>
      <w:rFonts w:ascii="Tahoma" w:hAnsi="Tahoma"/>
      <w:sz w:val="16"/>
      <w:szCs w:val="16"/>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_rels/footer1.xml.rels><?xml version="1.0" encoding="UTF-8"?>
<Relationships xmlns="http://schemas.openxmlformats.org/package/2006/relationships"><Relationship Id="rId1" Type="http://schemas.openxmlformats.org/officeDocument/2006/relationships/image" Target="media/image2.pn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3.xml><?xml version="1.0" encoding="utf-8"?>
<ds:datastoreItem xmlns:ds="http://schemas.openxmlformats.org/officeDocument/2006/customXml" ds:itemID="{9AFB2997-9364-41C3-A229-43AE2BC01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Application>LibreOffice/7.4.3.2$Windows_X86_64 LibreOffice_project/1048a8393ae2eeec98dff31b5c133c5f1d08b890</Application>
  <AppVersion>15.0000</AppVersion>
  <Pages>3</Pages>
  <Words>1121</Words>
  <Characters>6287</Characters>
  <CharactersWithSpaces>7336</CharactersWithSpaces>
  <Paragraphs>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2020-06-10T13:56:00Z</dcterms:created>
  <dc:creator>CPL CISMIV</dc:creator>
  <dc:description/>
  <dc:language>pt-BR</dc:language>
  <cp:lastModifiedBy/>
  <cp:lastPrinted>2021-01-25T16:27:00Z</cp:lastPrinted>
  <dcterms:modified xsi:type="dcterms:W3CDTF">2023-01-30T15:21:46Z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2048">
    <vt:lpwstr>44</vt:lpwstr>
  </property>
  <property fmtid="{D5CDD505-2E9C-101B-9397-08002B2CF9AE}" pid="3" name="ContentTypeId">
    <vt:lpwstr>0x01010012A2765E7DFD38469B2E626874CD0041</vt:lpwstr>
  </property>
</Properties>
</file>